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66AD" w14:textId="2A47E7F2" w:rsidR="006366CB" w:rsidRDefault="00821DDD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  <w:r w:rsidR="006366CB">
        <w:rPr>
          <w:b/>
          <w:bCs/>
          <w:sz w:val="32"/>
          <w:szCs w:val="32"/>
          <w:u w:val="single"/>
        </w:rPr>
        <w:t xml:space="preserve"> </w:t>
      </w:r>
    </w:p>
    <w:p w14:paraId="63FE282F" w14:textId="43EC8101" w:rsidR="00AE5A46" w:rsidRPr="006A2103" w:rsidRDefault="006366CB" w:rsidP="006A2103">
      <w:pPr>
        <w:spacing w:after="0"/>
        <w:jc w:val="center"/>
        <w:rPr>
          <w:sz w:val="28"/>
          <w:szCs w:val="28"/>
        </w:rPr>
      </w:pPr>
      <w:r w:rsidRPr="006A2103">
        <w:rPr>
          <w:sz w:val="28"/>
          <w:szCs w:val="28"/>
        </w:rPr>
        <w:t xml:space="preserve"> </w:t>
      </w:r>
      <w:r w:rsidR="006A2103" w:rsidRPr="006A2103">
        <w:rPr>
          <w:sz w:val="28"/>
          <w:szCs w:val="28"/>
        </w:rPr>
        <w:t>(</w:t>
      </w:r>
      <w:r w:rsidRPr="006A2103">
        <w:rPr>
          <w:sz w:val="28"/>
          <w:szCs w:val="28"/>
        </w:rPr>
        <w:t>spostamento risorse tra due progetti</w:t>
      </w:r>
      <w:r w:rsidR="006A2103" w:rsidRPr="006A2103">
        <w:rPr>
          <w:sz w:val="28"/>
          <w:szCs w:val="28"/>
        </w:rPr>
        <w:t>)</w:t>
      </w:r>
    </w:p>
    <w:p w14:paraId="3D72EE38" w14:textId="77777777" w:rsidR="006A2103" w:rsidRPr="003C5BBB" w:rsidRDefault="006A2103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5670"/>
      </w:tblGrid>
      <w:tr w:rsidR="000E7C56" w14:paraId="15401DBE" w14:textId="0FD86E4A" w:rsidTr="003C5BBB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B905AA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3C5BBB">
        <w:tc>
          <w:tcPr>
            <w:tcW w:w="1980" w:type="dxa"/>
            <w:shd w:val="clear" w:color="auto" w:fill="F2F2F2" w:themeFill="background1" w:themeFillShade="F2"/>
          </w:tcPr>
          <w:p w14:paraId="143CCCE4" w14:textId="5E18A4F3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  <w:r w:rsidR="005123C7">
              <w:rPr>
                <w:b/>
                <w:bCs/>
              </w:rPr>
              <w:t xml:space="preserve"> </w:t>
            </w:r>
            <w:r w:rsidR="006A2103">
              <w:rPr>
                <w:b/>
                <w:bCs/>
              </w:rPr>
              <w:t>1</w:t>
            </w:r>
          </w:p>
          <w:p w14:paraId="57C1C4B5" w14:textId="2A1C2178" w:rsidR="007C7B6E" w:rsidRPr="007C7B6E" w:rsidRDefault="007C7B6E" w:rsidP="003407DF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3FA446EB" w14:textId="2597B401" w:rsidR="0021433F" w:rsidRPr="00661BBA" w:rsidRDefault="000C6B5A" w:rsidP="00B905AA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Dighe di Monti Nieddu e di Medau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Aingiu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– Lavori di completamento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Integrazione finanziamenti statali (Del. CIPE 48/2004) e regionali (CGEI con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Ord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n.337/2002 e n.444/2007 e DGR n.52/8 del 27.11.2009)</w:t>
            </w:r>
          </w:p>
        </w:tc>
        <w:tc>
          <w:tcPr>
            <w:tcW w:w="5670" w:type="dxa"/>
          </w:tcPr>
          <w:p w14:paraId="6C63EAF9" w14:textId="77777777" w:rsidR="0021433F" w:rsidRDefault="0021433F" w:rsidP="00B905AA">
            <w:pPr>
              <w:pBdr>
                <w:bottom w:val="single" w:sz="12" w:space="1" w:color="auto"/>
              </w:pBdr>
              <w:rPr>
                <w:rFonts w:eastAsia="Calibri"/>
                <w:color w:val="000000"/>
              </w:rPr>
            </w:pPr>
          </w:p>
          <w:p w14:paraId="452B0940" w14:textId="0A7DFC35" w:rsidR="000C6B5A" w:rsidRPr="00C653F0" w:rsidRDefault="000C6B5A" w:rsidP="00B905AA">
            <w:pPr>
              <w:rPr>
                <w:rFonts w:eastAsia="Calibri"/>
                <w:color w:val="000000"/>
              </w:rPr>
            </w:pPr>
          </w:p>
        </w:tc>
      </w:tr>
      <w:tr w:rsidR="005123C7" w14:paraId="362D0407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0AE7814B" w14:textId="727CDF4F" w:rsidR="006A2103" w:rsidRDefault="006A2103" w:rsidP="006A21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intervento 2</w:t>
            </w:r>
          </w:p>
          <w:p w14:paraId="6357F3AE" w14:textId="7F9909DF" w:rsidR="005123C7" w:rsidRDefault="005123C7" w:rsidP="006A2103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FE1D762" w14:textId="77777777" w:rsidR="001B426C" w:rsidRPr="00240013" w:rsidRDefault="001B426C" w:rsidP="001B426C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402C4489" w14:textId="06108B6B" w:rsidR="005123C7" w:rsidRPr="00E54253" w:rsidRDefault="001B426C" w:rsidP="001B426C"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  <w:tc>
          <w:tcPr>
            <w:tcW w:w="5670" w:type="dxa"/>
          </w:tcPr>
          <w:p w14:paraId="7C8B1614" w14:textId="77777777" w:rsidR="001B426C" w:rsidRPr="00240013" w:rsidRDefault="001B426C" w:rsidP="001B426C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7D4E0BF0" w14:textId="7EDB08B4" w:rsidR="005123C7" w:rsidRPr="00E54253" w:rsidRDefault="001B426C" w:rsidP="001B426C">
            <w:pPr>
              <w:rPr>
                <w:rFonts w:eastAsia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</w:tr>
      <w:tr w:rsidR="0021433F" w14:paraId="7B2C22E1" w14:textId="1A0D2654" w:rsidTr="003C5BBB">
        <w:tc>
          <w:tcPr>
            <w:tcW w:w="1980" w:type="dxa"/>
            <w:shd w:val="clear" w:color="auto" w:fill="F2F2F2" w:themeFill="background1" w:themeFillShade="F2"/>
          </w:tcPr>
          <w:p w14:paraId="6C681D1D" w14:textId="02840B96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  <w:r w:rsidR="001B426C">
              <w:rPr>
                <w:b/>
                <w:bCs/>
              </w:rPr>
              <w:t xml:space="preserve"> 1</w:t>
            </w:r>
          </w:p>
          <w:p w14:paraId="18C56044" w14:textId="7B8D0790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944B04C" w14:textId="73B464C1" w:rsidR="0021433F" w:rsidRPr="00A108E0" w:rsidRDefault="000E5A55" w:rsidP="00C44DF7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Si tratta di due sbarramenti attualmente in corso di costruzione.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Durante l’attuale fase realizzativa sono emerse ulteriori esigenze, stimate in complessivi 14 M€, per la realizzazione di diffusi interventi di consolidamento dell’imposta di entrambe le dighe, il completamento dello schermo di tenuta idraulica della diga di Monti Nieddu e il miglioramento delle caratteristiche di durabilità del suo paramento di valle, nonché il ripristino strada circumlacuale danneggiata a seguito dell'alluvione 2015.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E’ stata inoltre riconosciuta la necessità di eseguire interventi di ripristino e di messa in sicurezza della galleria di collegamento idraulico delle due dighe.</w:t>
            </w:r>
          </w:p>
        </w:tc>
        <w:tc>
          <w:tcPr>
            <w:tcW w:w="5670" w:type="dxa"/>
          </w:tcPr>
          <w:p w14:paraId="65002C49" w14:textId="52AFE514" w:rsidR="000E5A55" w:rsidRDefault="000E5A55" w:rsidP="00661BB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</w:p>
          <w:p w14:paraId="058418BF" w14:textId="0A43C599" w:rsidR="000E5A55" w:rsidRPr="00C653F0" w:rsidRDefault="000E5A55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</w:p>
        </w:tc>
      </w:tr>
      <w:tr w:rsidR="001B426C" w14:paraId="25FBE161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0DB8F8FC" w14:textId="0C90B3DC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2</w:t>
            </w:r>
          </w:p>
        </w:tc>
        <w:tc>
          <w:tcPr>
            <w:tcW w:w="5953" w:type="dxa"/>
          </w:tcPr>
          <w:p w14:paraId="438B1379" w14:textId="77777777" w:rsidR="001B426C" w:rsidRPr="00240013" w:rsidRDefault="001B426C" w:rsidP="001B42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composizione degli </w:t>
            </w:r>
            <w:r w:rsidRPr="00240013">
              <w:rPr>
                <w:rFonts w:ascii="Calibri" w:hAnsi="Calibri" w:cs="Calibri"/>
                <w:color w:val="404040"/>
              </w:rPr>
              <w:lastRenderedPageBreak/>
              <w:t>individuati mix di calcestruzzo. Successivamente è intervenuta la risoluzione del contratto di appalto con l’Impresa esecutrice in data 18.01.2019.</w:t>
            </w:r>
          </w:p>
          <w:p w14:paraId="0C348642" w14:textId="4976DBD4" w:rsidR="001B426C" w:rsidRDefault="001B426C" w:rsidP="001B426C">
            <w:r w:rsidRPr="00240013">
              <w:rPr>
                <w:rFonts w:ascii="Calibri" w:hAnsi="Calibri" w:cs="Calibri"/>
                <w:color w:val="404040"/>
              </w:rPr>
              <w:t>Allo stato risultano eseguiti gli scavi di fondazione, le opere di consolidamento delle spalle e gran parte di quelli di fondazione, lo schermo di tenuta e circa il 30% dei getti di calcestruzzo dei conci centrali della diga.</w:t>
            </w:r>
          </w:p>
        </w:tc>
        <w:tc>
          <w:tcPr>
            <w:tcW w:w="5670" w:type="dxa"/>
          </w:tcPr>
          <w:p w14:paraId="41AB2264" w14:textId="77777777" w:rsidR="001B426C" w:rsidRPr="00240013" w:rsidRDefault="001B426C" w:rsidP="001B42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lastRenderedPageBreak/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</w:t>
            </w:r>
            <w:r w:rsidRPr="00240013">
              <w:rPr>
                <w:rFonts w:ascii="Calibri" w:hAnsi="Calibri" w:cs="Calibri"/>
                <w:color w:val="404040"/>
              </w:rPr>
              <w:lastRenderedPageBreak/>
              <w:t>composizione degli individuati mix di calcestruzzo. Successivamente è intervenuta la risoluzione del contratto di appalto con l’Impresa esecutrice in data 18.01.2019.</w:t>
            </w:r>
          </w:p>
          <w:p w14:paraId="560F59FB" w14:textId="5D532A79" w:rsidR="001B426C" w:rsidRDefault="001B426C" w:rsidP="001B426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>Allo stato risultano eseguiti gli scavi di fondazione, le opere di consolidamento delle spalle e gran parte di quelli di fondazione, lo schermo di tenuta e circa il 30% dei getti di calcestruzzo dei conci centrali della diga.</w:t>
            </w:r>
          </w:p>
        </w:tc>
      </w:tr>
      <w:tr w:rsidR="001B426C" w14:paraId="6D3E7972" w14:textId="73D54596" w:rsidTr="003C5BBB">
        <w:tc>
          <w:tcPr>
            <w:tcW w:w="1980" w:type="dxa"/>
            <w:shd w:val="clear" w:color="auto" w:fill="F2F2F2" w:themeFill="background1" w:themeFillShade="F2"/>
          </w:tcPr>
          <w:p w14:paraId="218B62F6" w14:textId="346A94C2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Importo Programmato 1</w:t>
            </w:r>
          </w:p>
          <w:p w14:paraId="674318AF" w14:textId="7131E0D6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4A4FAA20" w14:textId="3F811963" w:rsidR="001B426C" w:rsidRPr="00661BBA" w:rsidRDefault="000E5A55" w:rsidP="001B426C">
            <w:r>
              <w:t>14,00</w:t>
            </w:r>
          </w:p>
        </w:tc>
        <w:tc>
          <w:tcPr>
            <w:tcW w:w="5670" w:type="dxa"/>
          </w:tcPr>
          <w:p w14:paraId="57DB80C1" w14:textId="09D87507" w:rsidR="001B426C" w:rsidRPr="000E5A55" w:rsidRDefault="000E5A55" w:rsidP="001B426C">
            <w:pPr>
              <w:rPr>
                <w:color w:val="FF0000"/>
              </w:rPr>
            </w:pPr>
            <w:r w:rsidRPr="000E5A55">
              <w:rPr>
                <w:color w:val="FF0000"/>
              </w:rPr>
              <w:t>0,00</w:t>
            </w:r>
          </w:p>
        </w:tc>
      </w:tr>
      <w:tr w:rsidR="001B426C" w14:paraId="39E2EFC5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5E5E7F0D" w14:textId="43E7158D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Programmato 2</w:t>
            </w:r>
          </w:p>
          <w:p w14:paraId="0A511FB4" w14:textId="77777777" w:rsidR="001B426C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6539E7EC" w14:textId="286C28C5" w:rsidR="001B426C" w:rsidRDefault="00A439AE" w:rsidP="001B426C">
            <w:r>
              <w:t>20,00</w:t>
            </w:r>
          </w:p>
        </w:tc>
        <w:tc>
          <w:tcPr>
            <w:tcW w:w="5670" w:type="dxa"/>
          </w:tcPr>
          <w:p w14:paraId="79833707" w14:textId="1564A333" w:rsidR="001B426C" w:rsidRPr="000E5A55" w:rsidRDefault="00A439AE" w:rsidP="001B426C">
            <w:pPr>
              <w:rPr>
                <w:color w:val="FF0000"/>
              </w:rPr>
            </w:pPr>
            <w:r w:rsidRPr="000E5A55">
              <w:rPr>
                <w:color w:val="FF0000"/>
              </w:rPr>
              <w:t>34,00</w:t>
            </w:r>
          </w:p>
        </w:tc>
      </w:tr>
      <w:tr w:rsidR="001B426C" w14:paraId="519E6431" w14:textId="1B10B25E" w:rsidTr="003C5BBB">
        <w:tc>
          <w:tcPr>
            <w:tcW w:w="1980" w:type="dxa"/>
            <w:shd w:val="clear" w:color="auto" w:fill="F2F2F2" w:themeFill="background1" w:themeFillShade="F2"/>
          </w:tcPr>
          <w:p w14:paraId="35FED39F" w14:textId="204E5F2B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1</w:t>
            </w:r>
          </w:p>
          <w:p w14:paraId="10C5F2DE" w14:textId="7B603C86" w:rsidR="001B426C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BE02955" w14:textId="006F46BE" w:rsidR="001B426C" w:rsidRPr="00661BBA" w:rsidRDefault="008E129B" w:rsidP="001B426C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Consorzio di bonifica della Sardegna Meridionale</w:t>
            </w:r>
          </w:p>
        </w:tc>
        <w:tc>
          <w:tcPr>
            <w:tcW w:w="5670" w:type="dxa"/>
          </w:tcPr>
          <w:p w14:paraId="3C32077B" w14:textId="6655DB9D" w:rsidR="001B426C" w:rsidRDefault="001B426C" w:rsidP="001B426C">
            <w:pPr>
              <w:pBdr>
                <w:bottom w:val="single" w:sz="12" w:space="1" w:color="auto"/>
              </w:pBdr>
            </w:pPr>
          </w:p>
          <w:p w14:paraId="6A977558" w14:textId="68AC7C86" w:rsidR="000E5A55" w:rsidRPr="00C653F0" w:rsidRDefault="000E5A55" w:rsidP="001B426C"/>
        </w:tc>
      </w:tr>
      <w:tr w:rsidR="001B426C" w14:paraId="71E22C44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4792A4EF" w14:textId="1FD35D01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2</w:t>
            </w:r>
          </w:p>
        </w:tc>
        <w:tc>
          <w:tcPr>
            <w:tcW w:w="5953" w:type="dxa"/>
          </w:tcPr>
          <w:p w14:paraId="5FCE367F" w14:textId="104604A1" w:rsidR="001B426C" w:rsidRPr="00661BBA" w:rsidRDefault="00721A70" w:rsidP="001B426C">
            <w:r w:rsidRPr="001307F4">
              <w:t>Consorzio di bonifica della Sardegna Centrale</w:t>
            </w:r>
          </w:p>
        </w:tc>
        <w:tc>
          <w:tcPr>
            <w:tcW w:w="5670" w:type="dxa"/>
          </w:tcPr>
          <w:p w14:paraId="050D7F88" w14:textId="692C54C6" w:rsidR="001B426C" w:rsidRPr="00C653F0" w:rsidRDefault="00721A70" w:rsidP="001B426C">
            <w:r w:rsidRPr="001307F4">
              <w:t>Consorzio di bonifica della Sardegna Centrale</w:t>
            </w:r>
          </w:p>
        </w:tc>
      </w:tr>
      <w:tr w:rsidR="001B426C" w14:paraId="4BFB0686" w14:textId="5632B263" w:rsidTr="003C5BBB">
        <w:tc>
          <w:tcPr>
            <w:tcW w:w="1980" w:type="dxa"/>
            <w:shd w:val="clear" w:color="auto" w:fill="F2F2F2" w:themeFill="background1" w:themeFillShade="F2"/>
          </w:tcPr>
          <w:p w14:paraId="5AEE8169" w14:textId="0F2C56FA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1</w:t>
            </w:r>
          </w:p>
          <w:p w14:paraId="44767C20" w14:textId="0C0946D1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084A6AD" w14:textId="22F0905D" w:rsidR="001B426C" w:rsidRPr="00661BBA" w:rsidRDefault="008E129B" w:rsidP="001B426C">
            <w:r>
              <w:t xml:space="preserve">Sardegna </w:t>
            </w:r>
          </w:p>
        </w:tc>
        <w:tc>
          <w:tcPr>
            <w:tcW w:w="5670" w:type="dxa"/>
          </w:tcPr>
          <w:p w14:paraId="0EF44B77" w14:textId="4CFFC47C" w:rsidR="001B426C" w:rsidRDefault="001B426C" w:rsidP="001B426C">
            <w:pPr>
              <w:pBdr>
                <w:bottom w:val="single" w:sz="12" w:space="1" w:color="auto"/>
              </w:pBdr>
            </w:pPr>
          </w:p>
          <w:p w14:paraId="71F26DCF" w14:textId="34251DC8" w:rsidR="000E5A55" w:rsidRPr="00C653F0" w:rsidRDefault="000E5A55" w:rsidP="001B426C"/>
        </w:tc>
      </w:tr>
      <w:tr w:rsidR="001B426C" w14:paraId="2051730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12B23F01" w14:textId="762E4F3E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2</w:t>
            </w:r>
          </w:p>
        </w:tc>
        <w:tc>
          <w:tcPr>
            <w:tcW w:w="5953" w:type="dxa"/>
          </w:tcPr>
          <w:p w14:paraId="5B27CBAC" w14:textId="29A90D85" w:rsidR="001B426C" w:rsidRPr="00661BBA" w:rsidRDefault="008701BF" w:rsidP="001B426C">
            <w:r>
              <w:t xml:space="preserve">Sardegna </w:t>
            </w:r>
          </w:p>
        </w:tc>
        <w:tc>
          <w:tcPr>
            <w:tcW w:w="5670" w:type="dxa"/>
          </w:tcPr>
          <w:p w14:paraId="20BD7C2C" w14:textId="459BCF00" w:rsidR="001B426C" w:rsidRPr="00C653F0" w:rsidRDefault="008701BF" w:rsidP="001B426C">
            <w:r>
              <w:t xml:space="preserve">Sardegna </w:t>
            </w:r>
          </w:p>
        </w:tc>
      </w:tr>
      <w:tr w:rsidR="001B426C" w14:paraId="604B9BBB" w14:textId="037672B6" w:rsidTr="003C5BBB">
        <w:tc>
          <w:tcPr>
            <w:tcW w:w="1980" w:type="dxa"/>
            <w:shd w:val="clear" w:color="auto" w:fill="F2F2F2" w:themeFill="background1" w:themeFillShade="F2"/>
          </w:tcPr>
          <w:p w14:paraId="70888D4C" w14:textId="77777777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  <w:p w14:paraId="49D1E0DF" w14:textId="0AE78FE9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3AC9E8F" w14:textId="52BFCF84" w:rsidR="001B426C" w:rsidRPr="00C653F0" w:rsidRDefault="006459CD" w:rsidP="001B426C">
            <w:r w:rsidRPr="00584031">
              <w:rPr>
                <w:rFonts w:eastAsia="Calibri"/>
                <w:color w:val="000000"/>
              </w:rPr>
              <w:t>I87I19000080002</w:t>
            </w:r>
          </w:p>
        </w:tc>
        <w:tc>
          <w:tcPr>
            <w:tcW w:w="5670" w:type="dxa"/>
          </w:tcPr>
          <w:p w14:paraId="721B6B28" w14:textId="2388EE32" w:rsidR="001B426C" w:rsidRPr="00C653F0" w:rsidRDefault="006459CD" w:rsidP="001B426C">
            <w:pPr>
              <w:rPr>
                <w:rFonts w:eastAsia="Calibri"/>
                <w:color w:val="000000"/>
              </w:rPr>
            </w:pPr>
            <w:r w:rsidRPr="00584031">
              <w:rPr>
                <w:rFonts w:eastAsia="Calibri"/>
                <w:color w:val="000000"/>
              </w:rPr>
              <w:t>I87I19000080002</w:t>
            </w:r>
          </w:p>
        </w:tc>
      </w:tr>
      <w:tr w:rsidR="008701BF" w14:paraId="1791691E" w14:textId="79EB71EA" w:rsidTr="003C5BBB">
        <w:tc>
          <w:tcPr>
            <w:tcW w:w="1980" w:type="dxa"/>
            <w:shd w:val="clear" w:color="auto" w:fill="F2F2F2" w:themeFill="background1" w:themeFillShade="F2"/>
          </w:tcPr>
          <w:p w14:paraId="6D4C48DD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6EB81242" w14:textId="41A18A88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6A15D9F" w14:textId="6554F9A4" w:rsidR="008701BF" w:rsidRPr="00C653F0" w:rsidRDefault="008701BF" w:rsidP="008701BF">
            <w:r>
              <w:rPr>
                <w:rFonts w:eastAsia="Calibri"/>
                <w:color w:val="000000"/>
              </w:rPr>
              <w:t>D4143</w:t>
            </w:r>
          </w:p>
        </w:tc>
        <w:tc>
          <w:tcPr>
            <w:tcW w:w="5670" w:type="dxa"/>
          </w:tcPr>
          <w:p w14:paraId="587E2819" w14:textId="791B35CA" w:rsidR="008701BF" w:rsidRPr="00C653F0" w:rsidRDefault="008701BF" w:rsidP="008701B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D4143</w:t>
            </w:r>
          </w:p>
        </w:tc>
      </w:tr>
      <w:tr w:rsidR="008701BF" w14:paraId="2365966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29D1C43B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Convenzione</w:t>
            </w:r>
          </w:p>
          <w:p w14:paraId="7C1651EA" w14:textId="22942EBD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7F518181" w14:textId="25CB0C4F" w:rsidR="008701BF" w:rsidRPr="00C653F0" w:rsidRDefault="008701BF" w:rsidP="008701BF"/>
        </w:tc>
        <w:tc>
          <w:tcPr>
            <w:tcW w:w="5670" w:type="dxa"/>
          </w:tcPr>
          <w:p w14:paraId="74E229AC" w14:textId="79A3E7E5" w:rsidR="008701BF" w:rsidRPr="00C653F0" w:rsidRDefault="008701BF" w:rsidP="008701BF">
            <w:pPr>
              <w:rPr>
                <w:rFonts w:eastAsia="Calibri"/>
                <w:color w:val="000000"/>
              </w:rPr>
            </w:pPr>
          </w:p>
        </w:tc>
      </w:tr>
      <w:tr w:rsidR="008701BF" w14:paraId="64179310" w14:textId="77777777" w:rsidTr="00D13125">
        <w:tc>
          <w:tcPr>
            <w:tcW w:w="1980" w:type="dxa"/>
            <w:shd w:val="clear" w:color="auto" w:fill="F2F2F2" w:themeFill="background1" w:themeFillShade="F2"/>
          </w:tcPr>
          <w:p w14:paraId="1638C78C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riprogrammazione</w:t>
            </w:r>
          </w:p>
          <w:p w14:paraId="33515837" w14:textId="6F61CE6B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133B46CB" w14:textId="36607ED5" w:rsidR="008701BF" w:rsidRPr="00805E47" w:rsidRDefault="008701BF" w:rsidP="008701BF">
            <w:pPr>
              <w:jc w:val="center"/>
            </w:pPr>
            <w:r>
              <w:t>Utilizzo di annullamento di un intervento per finanziare l’incremento di costo di un altro intervento</w:t>
            </w:r>
          </w:p>
        </w:tc>
      </w:tr>
    </w:tbl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50FEB7FE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  <w:p w14:paraId="7FC4B456" w14:textId="1B4C1643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38473982" w14:textId="4642C0EC" w:rsidR="009B0233" w:rsidRPr="004431CD" w:rsidRDefault="004431CD" w:rsidP="004431CD">
            <w:pPr>
              <w:rPr>
                <w:rFonts w:ascii="Calibri" w:hAnsi="Calibri" w:cs="Calibri"/>
                <w:color w:val="000000"/>
              </w:rPr>
            </w:pPr>
            <w:r w:rsidRPr="002E53DB">
              <w:t>Viene richiesto incremento del finanziamento da 20,00 M€ a 34,00 M€</w:t>
            </w:r>
            <w:r>
              <w:t xml:space="preserve"> per l’intervento “</w:t>
            </w: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  <w:r>
              <w:rPr>
                <w:rFonts w:ascii="Calibri" w:hAnsi="Calibri" w:cs="Calibri"/>
                <w:color w:val="000000"/>
              </w:rPr>
              <w:t xml:space="preserve"> i</w:t>
            </w:r>
            <w:r w:rsidRPr="00240013">
              <w:rPr>
                <w:rFonts w:ascii="Calibri" w:hAnsi="Calibri" w:cs="Calibri"/>
                <w:color w:val="000000"/>
              </w:rPr>
              <w:t>ntegrazione finanziamenti regionali</w:t>
            </w:r>
            <w:r>
              <w:rPr>
                <w:rFonts w:ascii="Calibri" w:hAnsi="Calibri" w:cs="Calibri"/>
                <w:color w:val="000000"/>
              </w:rPr>
              <w:t>”</w:t>
            </w:r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3C67388C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Motivazioni</w:t>
            </w:r>
          </w:p>
          <w:p w14:paraId="0E72BF98" w14:textId="56E57931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52E30631" w14:textId="63E122D4" w:rsidR="00BB2B56" w:rsidRDefault="00BB2B56" w:rsidP="00BB2B56">
            <w:r>
              <w:t xml:space="preserve">L’intervento trova copertura mediante l’azzeramento del finanziamento previsto con delibera CIPE 12/2018 per l’intervento </w:t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Dighe di Monti Nieddu e di Medau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Aingiu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– Lavori di completamento Integrazione finanziamenti statali (Del. CIPE 48/2004) e regionali (CGEI con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Ord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n.337/2002 e n.444/2007 e DGR n.52/8 del 27.11.2009)” d</w:t>
            </w:r>
            <w:r>
              <w:t>el valore di 14,00 M€, intervento non più attuabile con il finanziamento in oggetto in quanto non in linea con le previsioni temporali di attuazione del PSC.</w:t>
            </w:r>
          </w:p>
          <w:p w14:paraId="632CD500" w14:textId="75BB7897" w:rsidR="009B0233" w:rsidRPr="004F190C" w:rsidRDefault="009B0233" w:rsidP="00AE5A46"/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6671D382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  <w:p w14:paraId="2171E671" w14:textId="5EF13457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29A24535" w14:textId="450A5CE2" w:rsidR="00A108E0" w:rsidRPr="00F3654B" w:rsidRDefault="00B56F59" w:rsidP="00983B32">
            <w:r>
              <w:t>Dalla documentazione acquisita non si evince alcuna comunicazione al Beneficiario “</w:t>
            </w:r>
            <w:r w:rsidRPr="005C4068">
              <w:t>Consorzio di bonifica della Sardegna Meridionale</w:t>
            </w:r>
            <w:r>
              <w:t xml:space="preserve">” dell’intervento </w:t>
            </w:r>
            <w:proofErr w:type="spellStart"/>
            <w:r>
              <w:t>definanziato</w:t>
            </w:r>
            <w:proofErr w:type="spellEnd"/>
          </w:p>
        </w:tc>
      </w:tr>
      <w:tr w:rsidR="009B0233" w14:paraId="5910965A" w14:textId="77777777" w:rsidTr="009B5046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Integrazioni da richiedere alla Direzione Generale</w:t>
            </w:r>
          </w:p>
          <w:p w14:paraId="29C6CBF5" w14:textId="39840F99" w:rsidR="009B0233" w:rsidRPr="009B5046" w:rsidRDefault="009B0233" w:rsidP="000543DA">
            <w:pPr>
              <w:jc w:val="center"/>
              <w:rPr>
                <w:i/>
                <w:iCs/>
              </w:rPr>
            </w:pPr>
          </w:p>
        </w:tc>
        <w:tc>
          <w:tcPr>
            <w:tcW w:w="11021" w:type="dxa"/>
            <w:shd w:val="clear" w:color="auto" w:fill="auto"/>
          </w:tcPr>
          <w:p w14:paraId="4A8B322C" w14:textId="6797C917" w:rsidR="009B0233" w:rsidRPr="004F190C" w:rsidRDefault="009B0233" w:rsidP="00AE5A46"/>
        </w:tc>
      </w:tr>
    </w:tbl>
    <w:p w14:paraId="7A67F38B" w14:textId="77777777" w:rsidR="009B0233" w:rsidRPr="00075162" w:rsidRDefault="009B0233" w:rsidP="002D3040">
      <w:pPr>
        <w:rPr>
          <w:b/>
          <w:bCs/>
        </w:rPr>
      </w:pPr>
    </w:p>
    <w:p w14:paraId="5024FDCE" w14:textId="77777777" w:rsidR="002D3040" w:rsidRPr="00075162" w:rsidRDefault="002D3040" w:rsidP="002D3040">
      <w:pPr>
        <w:jc w:val="both"/>
        <w:rPr>
          <w:b/>
          <w:bCs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046263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7D42FB3E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PSC </w:t>
            </w:r>
            <w:proofErr w:type="spellStart"/>
            <w:r>
              <w:rPr>
                <w:b/>
                <w:bCs/>
              </w:rPr>
              <w:t>MiMS</w:t>
            </w:r>
            <w:proofErr w:type="spellEnd"/>
            <w:r>
              <w:rPr>
                <w:b/>
                <w:bCs/>
              </w:rPr>
              <w:t xml:space="preserve"> (FSC 2014-2020)</w:t>
            </w:r>
          </w:p>
          <w:p w14:paraId="3DF7CD9B" w14:textId="4CF5657B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669799CF" w14:textId="4C75A057" w:rsidR="00024F08" w:rsidRPr="008F242D" w:rsidRDefault="00ED6071" w:rsidP="00046263">
            <w:r>
              <w:t>20,00</w:t>
            </w:r>
          </w:p>
        </w:tc>
        <w:tc>
          <w:tcPr>
            <w:tcW w:w="2807" w:type="dxa"/>
          </w:tcPr>
          <w:p w14:paraId="60F4869E" w14:textId="3C9CB00F" w:rsidR="00024F08" w:rsidRPr="008F242D" w:rsidRDefault="00ED6071" w:rsidP="00046263">
            <w:r>
              <w:t>34,00</w:t>
            </w:r>
          </w:p>
        </w:tc>
      </w:tr>
      <w:tr w:rsidR="00024F08" w14:paraId="30BF8B10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52EFE8A5" w14:textId="77777777" w:rsidR="00024F08" w:rsidRDefault="00024F08" w:rsidP="00046263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091B9F9D" w14:textId="0DAD7861" w:rsidR="007C7B6E" w:rsidRP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3D80690E" w14:textId="77777777" w:rsidR="00024F08" w:rsidRDefault="00ED6071" w:rsidP="00046263">
            <w:r>
              <w:t>0,00</w:t>
            </w:r>
          </w:p>
          <w:p w14:paraId="03C70216" w14:textId="2AC75E7B" w:rsidR="00ED6071" w:rsidRPr="00FB1FFB" w:rsidRDefault="00ED6071" w:rsidP="00046263"/>
        </w:tc>
        <w:tc>
          <w:tcPr>
            <w:tcW w:w="2807" w:type="dxa"/>
            <w:shd w:val="clear" w:color="auto" w:fill="auto"/>
          </w:tcPr>
          <w:p w14:paraId="04A7B460" w14:textId="4181CD3A" w:rsidR="00024F08" w:rsidRPr="00FB1FFB" w:rsidRDefault="00ED6071" w:rsidP="00046263">
            <w:r>
              <w:t>0,00</w:t>
            </w:r>
          </w:p>
        </w:tc>
      </w:tr>
      <w:tr w:rsidR="00024F08" w14:paraId="7817B7A3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60E0B279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  <w:p w14:paraId="01C47D7C" w14:textId="58BCDFC0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6A0E9EA3" w14:textId="2C69AC61" w:rsidR="00024F08" w:rsidRPr="008F242D" w:rsidRDefault="00ED6071" w:rsidP="00046263">
            <w:r>
              <w:t>20,00</w:t>
            </w:r>
          </w:p>
        </w:tc>
        <w:tc>
          <w:tcPr>
            <w:tcW w:w="2807" w:type="dxa"/>
            <w:shd w:val="clear" w:color="auto" w:fill="auto"/>
          </w:tcPr>
          <w:p w14:paraId="4DE8D3F2" w14:textId="79CBC3B5" w:rsidR="00024F08" w:rsidRPr="008F242D" w:rsidRDefault="00ED6071" w:rsidP="00046263">
            <w:r>
              <w:t>34,00</w:t>
            </w:r>
          </w:p>
        </w:tc>
      </w:tr>
      <w:tr w:rsidR="00024F08" w14:paraId="416D6B42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52366141" w14:textId="77777777" w:rsidR="00024F08" w:rsidRDefault="00024F08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5B9D229E" w14:textId="272BB11D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3645E7C2" w14:textId="3BF21052" w:rsidR="00C77F6B" w:rsidRPr="008F242D" w:rsidRDefault="00C77F6B" w:rsidP="00046263">
            <w:pPr>
              <w:jc w:val="both"/>
            </w:pPr>
          </w:p>
        </w:tc>
        <w:tc>
          <w:tcPr>
            <w:tcW w:w="2807" w:type="dxa"/>
          </w:tcPr>
          <w:p w14:paraId="32D8C795" w14:textId="5068E53E" w:rsidR="00024F08" w:rsidRDefault="00024F08" w:rsidP="00046263">
            <w:pPr>
              <w:jc w:val="both"/>
            </w:pPr>
          </w:p>
        </w:tc>
      </w:tr>
    </w:tbl>
    <w:p w14:paraId="2255C0D2" w14:textId="77777777" w:rsidR="0027388B" w:rsidRDefault="0027388B" w:rsidP="0027388B">
      <w:pPr>
        <w:rPr>
          <w:b/>
          <w:bCs/>
          <w:u w:val="single"/>
        </w:rPr>
      </w:pPr>
      <w:r w:rsidRPr="001C2EE8">
        <w:rPr>
          <w:b/>
          <w:bCs/>
          <w:u w:val="single"/>
        </w:rPr>
        <w:t>SEZIONE RELAZIONE TECNICA RIPROGRAMMAZIONE</w:t>
      </w:r>
      <w:r>
        <w:rPr>
          <w:b/>
          <w:bCs/>
          <w:u w:val="single"/>
        </w:rPr>
        <w:t>:</w:t>
      </w:r>
    </w:p>
    <w:p w14:paraId="4ED30B4F" w14:textId="77777777" w:rsidR="0027388B" w:rsidRDefault="0027388B" w:rsidP="0027388B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>Area Tematica: 0</w:t>
      </w:r>
      <w:r>
        <w:rPr>
          <w:b/>
        </w:rPr>
        <w:t>5</w:t>
      </w:r>
      <w:r w:rsidRPr="007E6F6A">
        <w:rPr>
          <w:b/>
        </w:rPr>
        <w:t xml:space="preserve"> - “</w:t>
      </w:r>
      <w:r>
        <w:rPr>
          <w:b/>
        </w:rPr>
        <w:t xml:space="preserve">Ambiente e risorse </w:t>
      </w:r>
      <w:proofErr w:type="gramStart"/>
      <w:r>
        <w:rPr>
          <w:b/>
        </w:rPr>
        <w:t>naturali</w:t>
      </w:r>
      <w:r w:rsidRPr="007E6F6A">
        <w:rPr>
          <w:b/>
        </w:rPr>
        <w:t xml:space="preserve"> ”</w:t>
      </w:r>
      <w:proofErr w:type="gramEnd"/>
      <w:r>
        <w:rPr>
          <w:b/>
        </w:rPr>
        <w:t xml:space="preserve"> </w:t>
      </w:r>
    </w:p>
    <w:p w14:paraId="1165B96F" w14:textId="77777777" w:rsidR="0027388B" w:rsidRPr="002D68E1" w:rsidRDefault="0027388B" w:rsidP="0027388B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>Settore di intervento: 0</w:t>
      </w:r>
      <w:r>
        <w:rPr>
          <w:bCs/>
          <w:i/>
          <w:iCs/>
        </w:rPr>
        <w:t>5</w:t>
      </w:r>
      <w:r w:rsidRPr="002D68E1">
        <w:rPr>
          <w:bCs/>
          <w:i/>
          <w:iCs/>
        </w:rPr>
        <w:t>.0</w:t>
      </w:r>
      <w:r>
        <w:rPr>
          <w:bCs/>
          <w:i/>
          <w:iCs/>
        </w:rPr>
        <w:t>2</w:t>
      </w:r>
      <w:r w:rsidRPr="002D68E1">
        <w:rPr>
          <w:bCs/>
          <w:i/>
          <w:iCs/>
        </w:rPr>
        <w:t xml:space="preserve"> - “</w:t>
      </w:r>
      <w:r>
        <w:rPr>
          <w:bCs/>
          <w:i/>
          <w:iCs/>
        </w:rPr>
        <w:t>Risorse Idriche”</w:t>
      </w:r>
    </w:p>
    <w:p w14:paraId="068781BD" w14:textId="77777777" w:rsidR="0027388B" w:rsidRPr="00852889" w:rsidRDefault="0027388B" w:rsidP="0027388B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 Sardegna</w:t>
      </w:r>
    </w:p>
    <w:p w14:paraId="0CD42DDA" w14:textId="0178A072" w:rsidR="00AA633C" w:rsidRDefault="0027388B" w:rsidP="0027388B">
      <w:pPr>
        <w:jc w:val="both"/>
        <w:rPr>
          <w:bCs/>
        </w:rPr>
      </w:pPr>
      <w:r w:rsidRPr="00852889">
        <w:rPr>
          <w:bCs/>
        </w:rPr>
        <w:lastRenderedPageBreak/>
        <w:t>La Direzione generale per le dighe e le infrastrutture idriche</w:t>
      </w:r>
      <w:r>
        <w:rPr>
          <w:bCs/>
        </w:rPr>
        <w:t xml:space="preserve">, </w:t>
      </w:r>
      <w:r w:rsidR="00B76A0C">
        <w:rPr>
          <w:bCs/>
        </w:rPr>
        <w:t xml:space="preserve">ha </w:t>
      </w:r>
      <w:r w:rsidR="00402C1A">
        <w:rPr>
          <w:bCs/>
        </w:rPr>
        <w:t xml:space="preserve">comunicato che </w:t>
      </w:r>
      <w:r w:rsidR="00A079FE">
        <w:rPr>
          <w:bCs/>
        </w:rPr>
        <w:t xml:space="preserve">l’intervento relativo alla </w:t>
      </w:r>
      <w:r w:rsidR="00A079FE">
        <w:rPr>
          <w:bCs/>
          <w:i/>
          <w:iCs/>
        </w:rPr>
        <w:t>diga Monti Nieddu</w:t>
      </w:r>
      <w:r w:rsidR="00AA633C">
        <w:rPr>
          <w:bCs/>
          <w:i/>
          <w:iCs/>
        </w:rPr>
        <w:t xml:space="preserve"> </w:t>
      </w:r>
      <w:r w:rsidR="00AA633C">
        <w:rPr>
          <w:bCs/>
        </w:rPr>
        <w:t>non risulta più attuabile in quanto non in linea con la tempistica imposta dalla fonte</w:t>
      </w:r>
      <w:r w:rsidR="002A4ADB">
        <w:rPr>
          <w:bCs/>
        </w:rPr>
        <w:t xml:space="preserve"> di finanziamento ed ha quindi proposto</w:t>
      </w:r>
      <w:r w:rsidR="004A3487">
        <w:rPr>
          <w:bCs/>
        </w:rPr>
        <w:t xml:space="preserve"> </w:t>
      </w:r>
      <w:r w:rsidR="000D0034">
        <w:rPr>
          <w:bCs/>
        </w:rPr>
        <w:t xml:space="preserve">eliminare il suddetto intervento dal PSC e </w:t>
      </w:r>
      <w:r w:rsidR="008E000B">
        <w:rPr>
          <w:bCs/>
        </w:rPr>
        <w:t xml:space="preserve">destinare il relativo importo alla </w:t>
      </w:r>
      <w:r w:rsidR="008E000B" w:rsidRPr="008E000B">
        <w:rPr>
          <w:bCs/>
          <w:i/>
          <w:iCs/>
        </w:rPr>
        <w:t xml:space="preserve">Diga di </w:t>
      </w:r>
      <w:proofErr w:type="spellStart"/>
      <w:r w:rsidR="008E000B" w:rsidRPr="008E000B">
        <w:rPr>
          <w:bCs/>
          <w:i/>
          <w:iCs/>
        </w:rPr>
        <w:t>Cumbidanovu</w:t>
      </w:r>
      <w:proofErr w:type="spellEnd"/>
      <w:r w:rsidR="008E000B">
        <w:rPr>
          <w:bCs/>
        </w:rPr>
        <w:t>.</w:t>
      </w:r>
      <w:r w:rsidR="004F50C0">
        <w:rPr>
          <w:bCs/>
        </w:rPr>
        <w:t xml:space="preserve"> Pertanto, alla luce della suddetta richiesta </w:t>
      </w:r>
      <w:r w:rsidR="005D6E4C">
        <w:rPr>
          <w:bCs/>
        </w:rPr>
        <w:t xml:space="preserve">si chiede un incremento del finanziamento di 14,000 M€ </w:t>
      </w:r>
      <w:r w:rsidR="004D4936">
        <w:rPr>
          <w:bCs/>
        </w:rPr>
        <w:t xml:space="preserve">derivanti dal definanziamento di pari importo della </w:t>
      </w:r>
      <w:r w:rsidR="004D4936" w:rsidRPr="004D4936">
        <w:rPr>
          <w:bCs/>
          <w:i/>
          <w:iCs/>
        </w:rPr>
        <w:t>diga Monti Nieddu</w:t>
      </w:r>
      <w:r w:rsidR="004D4936">
        <w:rPr>
          <w:bCs/>
        </w:rPr>
        <w:t>.</w:t>
      </w:r>
    </w:p>
    <w:p w14:paraId="7864D40F" w14:textId="77777777" w:rsidR="0027388B" w:rsidRDefault="0027388B" w:rsidP="0027388B">
      <w:pPr>
        <w:jc w:val="both"/>
        <w:rPr>
          <w:rFonts w:ascii="Calibri" w:hAnsi="Calibri" w:cs="Calibri"/>
          <w:color w:val="000000"/>
        </w:rPr>
      </w:pPr>
    </w:p>
    <w:p w14:paraId="4F283112" w14:textId="15A56565" w:rsidR="0027388B" w:rsidRDefault="0027388B" w:rsidP="0027388B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S</w:t>
      </w:r>
      <w:r w:rsidRPr="004A2A7D">
        <w:rPr>
          <w:bCs/>
        </w:rPr>
        <w:t>i rappresenta di seguito una tabella riepilogativa della rimodulazione degli interventi afferenti al settore 0</w:t>
      </w:r>
      <w:r w:rsidR="008835D2">
        <w:rPr>
          <w:bCs/>
        </w:rPr>
        <w:t>5</w:t>
      </w:r>
      <w:r w:rsidRPr="004A2A7D">
        <w:rPr>
          <w:bCs/>
        </w:rPr>
        <w:t>.0</w:t>
      </w:r>
      <w:r w:rsidR="008835D2">
        <w:rPr>
          <w:bCs/>
        </w:rPr>
        <w:t>2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27388B" w:rsidRPr="00C37A36" w14:paraId="1B865E47" w14:textId="77777777" w:rsidTr="007B08E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53EF4F7D" w14:textId="77777777" w:rsidR="0027388B" w:rsidRPr="001201B7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1201B7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1EC940FC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9CEBD78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7B4767BA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7D63412E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63C8703A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27388B" w:rsidRPr="00070114" w14:paraId="1BCCF68E" w14:textId="77777777" w:rsidTr="007B08EB">
        <w:trPr>
          <w:trHeight w:val="666"/>
        </w:trPr>
        <w:tc>
          <w:tcPr>
            <w:tcW w:w="4928" w:type="dxa"/>
            <w:shd w:val="clear" w:color="auto" w:fill="auto"/>
            <w:vAlign w:val="center"/>
          </w:tcPr>
          <w:p w14:paraId="0CDB9147" w14:textId="3E408EBD" w:rsidR="0027388B" w:rsidRPr="0027388B" w:rsidRDefault="001E7343" w:rsidP="0027388B">
            <w:pPr>
              <w:rPr>
                <w:rFonts w:ascii="Segoe UI" w:hAnsi="Segoe UI" w:cs="Segoe UI"/>
                <w:i/>
                <w:iCs/>
                <w:color w:val="242424"/>
              </w:rPr>
            </w:pPr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E610F35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9149DB" w14:textId="77777777" w:rsidR="0027388B" w:rsidRPr="001201B7" w:rsidRDefault="0027388B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CCB3C15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</w:tr>
      <w:tr w:rsidR="0027388B" w:rsidRPr="00070114" w14:paraId="6DE2690A" w14:textId="77777777" w:rsidTr="007B08EB">
        <w:tc>
          <w:tcPr>
            <w:tcW w:w="4928" w:type="dxa"/>
            <w:shd w:val="clear" w:color="auto" w:fill="auto"/>
            <w:vAlign w:val="center"/>
          </w:tcPr>
          <w:p w14:paraId="211B620E" w14:textId="684DDA27" w:rsidR="0027388B" w:rsidRPr="001201B7" w:rsidRDefault="0027388B" w:rsidP="0027388B">
            <w:pPr>
              <w:rPr>
                <w:rFonts w:eastAsia="Calibri"/>
              </w:rPr>
            </w:pPr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Dighe di Monti Nieddu e di Medau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Aingiu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statali (Del. CIPE 48/2004) e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regionali (CGEI con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Ord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>. n.337/2002 e n.444/2007 e DGR n.52/8 del 27.11.2009)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28D7CF7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FFED50" w14:textId="77777777" w:rsidR="0027388B" w:rsidRPr="001201B7" w:rsidRDefault="0027388B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D40113F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</w:tbl>
    <w:p w14:paraId="21E48598" w14:textId="77777777" w:rsidR="0027388B" w:rsidRDefault="0027388B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6A16BE13" w14:textId="77777777" w:rsidR="00B56F59" w:rsidRDefault="00B56F59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1DAEF415" w14:textId="77777777" w:rsidR="00B56F59" w:rsidRDefault="00B56F59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536CAE39" w14:textId="77777777" w:rsidR="00B56F59" w:rsidRDefault="00B56F59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2F080D55" w14:textId="77777777" w:rsidR="00B56F59" w:rsidRDefault="00B56F59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0435E68F" w14:textId="77777777" w:rsidR="0027388B" w:rsidRDefault="0027388B" w:rsidP="0027388B">
      <w:pPr>
        <w:rPr>
          <w:b/>
          <w:bCs/>
        </w:rPr>
      </w:pPr>
    </w:p>
    <w:p w14:paraId="64C64865" w14:textId="6CF81476" w:rsidR="00DB4AF2" w:rsidRPr="0027388B" w:rsidRDefault="00DB4AF2" w:rsidP="0027388B">
      <w:pPr>
        <w:rPr>
          <w:b/>
          <w:bCs/>
          <w:u w:val="single"/>
        </w:rPr>
      </w:pPr>
      <w:r w:rsidRPr="00802771">
        <w:rPr>
          <w:b/>
          <w:bCs/>
        </w:rPr>
        <w:lastRenderedPageBreak/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 xml:space="preserve">riprogrammazione complessiva degli interventi a valere sul PSC </w:t>
      </w:r>
      <w:proofErr w:type="spellStart"/>
      <w:r w:rsidRPr="00802771">
        <w:t>MiMS</w:t>
      </w:r>
      <w:proofErr w:type="spellEnd"/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"/>
        <w:gridCol w:w="1308"/>
        <w:gridCol w:w="1701"/>
        <w:gridCol w:w="1203"/>
        <w:gridCol w:w="1204"/>
        <w:gridCol w:w="1916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720CE4B4" w:rsidR="001E7343" w:rsidRDefault="001E7343">
            <w:r>
              <w:t>SARDEGNA</w:t>
            </w:r>
          </w:p>
        </w:tc>
        <w:tc>
          <w:tcPr>
            <w:tcW w:w="1203" w:type="dxa"/>
          </w:tcPr>
          <w:p w14:paraId="37E69532" w14:textId="5B80B196" w:rsidR="00DB4AF2" w:rsidRDefault="001E7343">
            <w:r>
              <w:t xml:space="preserve">DG DIGHE </w:t>
            </w:r>
          </w:p>
        </w:tc>
        <w:tc>
          <w:tcPr>
            <w:tcW w:w="1203" w:type="dxa"/>
          </w:tcPr>
          <w:p w14:paraId="23F681B2" w14:textId="7040ECC9" w:rsidR="00DB4AF2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Dighe di Monti Nieddu e di Medau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Aingiu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statali (Del. CIPE 48/2004) e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regionali (CGEI con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Ord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>. n.337/2002 e n.444/2007 e DGR n.52/8 del 27.11.2009)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3" w:type="dxa"/>
          </w:tcPr>
          <w:p w14:paraId="42DA5E09" w14:textId="2C579B22" w:rsidR="00DB4AF2" w:rsidRDefault="001E7343">
            <w:r>
              <w:t>14,00</w:t>
            </w:r>
          </w:p>
        </w:tc>
        <w:tc>
          <w:tcPr>
            <w:tcW w:w="1204" w:type="dxa"/>
          </w:tcPr>
          <w:p w14:paraId="4E5646FA" w14:textId="4E084CF9" w:rsidR="00DB4AF2" w:rsidRDefault="001E7343">
            <w:r>
              <w:t>05.02</w:t>
            </w:r>
          </w:p>
        </w:tc>
        <w:tc>
          <w:tcPr>
            <w:tcW w:w="1204" w:type="dxa"/>
          </w:tcPr>
          <w:p w14:paraId="5EEDB824" w14:textId="174BAB71" w:rsidR="00DB4AF2" w:rsidRDefault="001E7343">
            <w:r>
              <w:t>_________</w:t>
            </w:r>
            <w:r>
              <w:br/>
            </w:r>
            <w:r>
              <w:br/>
            </w:r>
          </w:p>
        </w:tc>
        <w:tc>
          <w:tcPr>
            <w:tcW w:w="1204" w:type="dxa"/>
          </w:tcPr>
          <w:p w14:paraId="60BE1651" w14:textId="12FCC16A" w:rsidR="00DB4AF2" w:rsidRDefault="001E7343">
            <w:r>
              <w:t>0,00</w:t>
            </w:r>
          </w:p>
        </w:tc>
        <w:tc>
          <w:tcPr>
            <w:tcW w:w="1204" w:type="dxa"/>
          </w:tcPr>
          <w:p w14:paraId="4B6EDC15" w14:textId="76FDFC2D" w:rsidR="00DB4AF2" w:rsidRDefault="00DB4AF2">
            <w:pPr>
              <w:pBdr>
                <w:bottom w:val="single" w:sz="12" w:space="1" w:color="auto"/>
              </w:pBdr>
            </w:pPr>
          </w:p>
          <w:p w14:paraId="776B0813" w14:textId="169E2144" w:rsidR="001E7343" w:rsidRDefault="001E7343"/>
        </w:tc>
      </w:tr>
      <w:tr w:rsidR="00070114" w14:paraId="02BBC80B" w14:textId="77777777" w:rsidTr="00DB4AF2">
        <w:tc>
          <w:tcPr>
            <w:tcW w:w="1203" w:type="dxa"/>
          </w:tcPr>
          <w:p w14:paraId="0213D969" w14:textId="1483B86F" w:rsidR="00070114" w:rsidRDefault="001E7343">
            <w:r>
              <w:t>SARDEGNA</w:t>
            </w:r>
          </w:p>
        </w:tc>
        <w:tc>
          <w:tcPr>
            <w:tcW w:w="1203" w:type="dxa"/>
          </w:tcPr>
          <w:p w14:paraId="4E885002" w14:textId="4DEDF682" w:rsidR="00070114" w:rsidRDefault="001E7343">
            <w:r>
              <w:t>DG DIGHE</w:t>
            </w:r>
          </w:p>
        </w:tc>
        <w:tc>
          <w:tcPr>
            <w:tcW w:w="1203" w:type="dxa"/>
          </w:tcPr>
          <w:p w14:paraId="5E7245C7" w14:textId="4DB0C409" w:rsidR="00070114" w:rsidRPr="002265EA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3" w:type="dxa"/>
          </w:tcPr>
          <w:p w14:paraId="60EBC719" w14:textId="37BFB3B8" w:rsidR="00070114" w:rsidRDefault="001E7343">
            <w:r>
              <w:t>20,00</w:t>
            </w:r>
          </w:p>
        </w:tc>
        <w:tc>
          <w:tcPr>
            <w:tcW w:w="1204" w:type="dxa"/>
          </w:tcPr>
          <w:p w14:paraId="5041E1D3" w14:textId="39EA9DF1" w:rsidR="00070114" w:rsidRDefault="001E7343">
            <w:r>
              <w:t>05.02</w:t>
            </w:r>
          </w:p>
        </w:tc>
        <w:tc>
          <w:tcPr>
            <w:tcW w:w="1204" w:type="dxa"/>
          </w:tcPr>
          <w:p w14:paraId="0A812A08" w14:textId="115D677D" w:rsidR="00070114" w:rsidRPr="002265EA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4" w:type="dxa"/>
          </w:tcPr>
          <w:p w14:paraId="1836283C" w14:textId="5A7804AE" w:rsidR="00070114" w:rsidRDefault="001E7343">
            <w:r>
              <w:t>34,00</w:t>
            </w:r>
          </w:p>
        </w:tc>
        <w:tc>
          <w:tcPr>
            <w:tcW w:w="1204" w:type="dxa"/>
          </w:tcPr>
          <w:p w14:paraId="70B24988" w14:textId="133D8789" w:rsidR="00070114" w:rsidRDefault="001E7343">
            <w:r>
              <w:t>05.02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7A07D5"/>
    <w:multiLevelType w:val="hybridMultilevel"/>
    <w:tmpl w:val="D3D08EF2"/>
    <w:lvl w:ilvl="0" w:tplc="02F006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037127">
    <w:abstractNumId w:val="0"/>
  </w:num>
  <w:num w:numId="2" w16cid:durableId="1893226012">
    <w:abstractNumId w:val="1"/>
  </w:num>
  <w:num w:numId="3" w16cid:durableId="344137838">
    <w:abstractNumId w:val="3"/>
  </w:num>
  <w:num w:numId="4" w16cid:durableId="1621296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0691"/>
    <w:rsid w:val="00012B44"/>
    <w:rsid w:val="00024F08"/>
    <w:rsid w:val="00050A2D"/>
    <w:rsid w:val="000543DA"/>
    <w:rsid w:val="00064FD4"/>
    <w:rsid w:val="00070114"/>
    <w:rsid w:val="00075162"/>
    <w:rsid w:val="00082B2B"/>
    <w:rsid w:val="000C6B5A"/>
    <w:rsid w:val="000D0034"/>
    <w:rsid w:val="000E5A55"/>
    <w:rsid w:val="000E7C56"/>
    <w:rsid w:val="00112FD6"/>
    <w:rsid w:val="001622DA"/>
    <w:rsid w:val="001724F9"/>
    <w:rsid w:val="0017683E"/>
    <w:rsid w:val="00192378"/>
    <w:rsid w:val="001B426C"/>
    <w:rsid w:val="001E7343"/>
    <w:rsid w:val="0021433F"/>
    <w:rsid w:val="002265EA"/>
    <w:rsid w:val="002562BC"/>
    <w:rsid w:val="0027388B"/>
    <w:rsid w:val="00291E81"/>
    <w:rsid w:val="002A1CB0"/>
    <w:rsid w:val="002A47CA"/>
    <w:rsid w:val="002A4ADB"/>
    <w:rsid w:val="002D3040"/>
    <w:rsid w:val="00312476"/>
    <w:rsid w:val="003372AF"/>
    <w:rsid w:val="003375C4"/>
    <w:rsid w:val="003407DF"/>
    <w:rsid w:val="003575FD"/>
    <w:rsid w:val="003673F2"/>
    <w:rsid w:val="00380B2A"/>
    <w:rsid w:val="00393111"/>
    <w:rsid w:val="003A6CE3"/>
    <w:rsid w:val="003C399B"/>
    <w:rsid w:val="003C5329"/>
    <w:rsid w:val="003C57CE"/>
    <w:rsid w:val="003C5BBB"/>
    <w:rsid w:val="003E2C3B"/>
    <w:rsid w:val="003E4BCC"/>
    <w:rsid w:val="00402C1A"/>
    <w:rsid w:val="00417D76"/>
    <w:rsid w:val="004431CD"/>
    <w:rsid w:val="00446979"/>
    <w:rsid w:val="004708F9"/>
    <w:rsid w:val="004712B5"/>
    <w:rsid w:val="00485C84"/>
    <w:rsid w:val="004A3487"/>
    <w:rsid w:val="004B2A23"/>
    <w:rsid w:val="004B3849"/>
    <w:rsid w:val="004C223E"/>
    <w:rsid w:val="004D4936"/>
    <w:rsid w:val="004F0C5B"/>
    <w:rsid w:val="004F190C"/>
    <w:rsid w:val="004F50C0"/>
    <w:rsid w:val="005066E0"/>
    <w:rsid w:val="005123C7"/>
    <w:rsid w:val="00524B03"/>
    <w:rsid w:val="0055464B"/>
    <w:rsid w:val="00573DCE"/>
    <w:rsid w:val="00584477"/>
    <w:rsid w:val="0058722D"/>
    <w:rsid w:val="005A6F4D"/>
    <w:rsid w:val="005B6FF3"/>
    <w:rsid w:val="005C4068"/>
    <w:rsid w:val="005C5B38"/>
    <w:rsid w:val="005D6E4C"/>
    <w:rsid w:val="005E1FB5"/>
    <w:rsid w:val="005F5C3D"/>
    <w:rsid w:val="00613507"/>
    <w:rsid w:val="006366CB"/>
    <w:rsid w:val="00640D39"/>
    <w:rsid w:val="006459CD"/>
    <w:rsid w:val="00661BBA"/>
    <w:rsid w:val="00661CAE"/>
    <w:rsid w:val="00663A1F"/>
    <w:rsid w:val="00671033"/>
    <w:rsid w:val="00685AD2"/>
    <w:rsid w:val="006921FD"/>
    <w:rsid w:val="00692716"/>
    <w:rsid w:val="006943E1"/>
    <w:rsid w:val="006A0FA0"/>
    <w:rsid w:val="006A2103"/>
    <w:rsid w:val="006A5393"/>
    <w:rsid w:val="006A687B"/>
    <w:rsid w:val="006B7306"/>
    <w:rsid w:val="006D441D"/>
    <w:rsid w:val="006D49DB"/>
    <w:rsid w:val="006E0CDF"/>
    <w:rsid w:val="006F09B7"/>
    <w:rsid w:val="007139A1"/>
    <w:rsid w:val="007147BF"/>
    <w:rsid w:val="00721A70"/>
    <w:rsid w:val="00722E4B"/>
    <w:rsid w:val="0072312F"/>
    <w:rsid w:val="00745D0E"/>
    <w:rsid w:val="00746717"/>
    <w:rsid w:val="0075786C"/>
    <w:rsid w:val="00761F02"/>
    <w:rsid w:val="00762C5F"/>
    <w:rsid w:val="007A69C5"/>
    <w:rsid w:val="007C7B6E"/>
    <w:rsid w:val="007D2873"/>
    <w:rsid w:val="007E520A"/>
    <w:rsid w:val="007E6F6A"/>
    <w:rsid w:val="007F2590"/>
    <w:rsid w:val="00805E47"/>
    <w:rsid w:val="0080646B"/>
    <w:rsid w:val="00813967"/>
    <w:rsid w:val="00821DDD"/>
    <w:rsid w:val="00850B24"/>
    <w:rsid w:val="008701BF"/>
    <w:rsid w:val="008835D2"/>
    <w:rsid w:val="00884090"/>
    <w:rsid w:val="00890A6B"/>
    <w:rsid w:val="008C5EAF"/>
    <w:rsid w:val="008E000B"/>
    <w:rsid w:val="008E129B"/>
    <w:rsid w:val="00924745"/>
    <w:rsid w:val="0092607B"/>
    <w:rsid w:val="0096145A"/>
    <w:rsid w:val="00983B32"/>
    <w:rsid w:val="009970E7"/>
    <w:rsid w:val="009A690B"/>
    <w:rsid w:val="009B0233"/>
    <w:rsid w:val="009B4D6E"/>
    <w:rsid w:val="009B5046"/>
    <w:rsid w:val="009C271F"/>
    <w:rsid w:val="009D4157"/>
    <w:rsid w:val="00A066DD"/>
    <w:rsid w:val="00A079FE"/>
    <w:rsid w:val="00A108E0"/>
    <w:rsid w:val="00A17E6D"/>
    <w:rsid w:val="00A439AE"/>
    <w:rsid w:val="00A619B4"/>
    <w:rsid w:val="00A65549"/>
    <w:rsid w:val="00A82297"/>
    <w:rsid w:val="00A82969"/>
    <w:rsid w:val="00A94146"/>
    <w:rsid w:val="00A97D99"/>
    <w:rsid w:val="00AA633C"/>
    <w:rsid w:val="00AA67D5"/>
    <w:rsid w:val="00AA7DD0"/>
    <w:rsid w:val="00AB56C3"/>
    <w:rsid w:val="00AC7E6A"/>
    <w:rsid w:val="00AE28C1"/>
    <w:rsid w:val="00AE5A46"/>
    <w:rsid w:val="00AE7DD2"/>
    <w:rsid w:val="00B12C77"/>
    <w:rsid w:val="00B24800"/>
    <w:rsid w:val="00B35A81"/>
    <w:rsid w:val="00B37620"/>
    <w:rsid w:val="00B56F59"/>
    <w:rsid w:val="00B76A0C"/>
    <w:rsid w:val="00BA1330"/>
    <w:rsid w:val="00BA43F6"/>
    <w:rsid w:val="00BB2B56"/>
    <w:rsid w:val="00BD156C"/>
    <w:rsid w:val="00BE19D9"/>
    <w:rsid w:val="00BF1776"/>
    <w:rsid w:val="00C21273"/>
    <w:rsid w:val="00C30A4B"/>
    <w:rsid w:val="00C44DF7"/>
    <w:rsid w:val="00C653F0"/>
    <w:rsid w:val="00C76B62"/>
    <w:rsid w:val="00C77F6B"/>
    <w:rsid w:val="00C96B69"/>
    <w:rsid w:val="00CB65BE"/>
    <w:rsid w:val="00CC72D6"/>
    <w:rsid w:val="00D250B3"/>
    <w:rsid w:val="00D70F26"/>
    <w:rsid w:val="00DB4AF2"/>
    <w:rsid w:val="00DD1012"/>
    <w:rsid w:val="00DE4713"/>
    <w:rsid w:val="00DE5105"/>
    <w:rsid w:val="00E01FCA"/>
    <w:rsid w:val="00E05A31"/>
    <w:rsid w:val="00E14C80"/>
    <w:rsid w:val="00E324C4"/>
    <w:rsid w:val="00E3273F"/>
    <w:rsid w:val="00E54253"/>
    <w:rsid w:val="00EB4E13"/>
    <w:rsid w:val="00ED13E8"/>
    <w:rsid w:val="00ED4E1E"/>
    <w:rsid w:val="00ED6071"/>
    <w:rsid w:val="00F10DA4"/>
    <w:rsid w:val="00F17FF7"/>
    <w:rsid w:val="00F3093C"/>
    <w:rsid w:val="00F31426"/>
    <w:rsid w:val="00F3424F"/>
    <w:rsid w:val="00F34ED3"/>
    <w:rsid w:val="00F3654B"/>
    <w:rsid w:val="00F46604"/>
    <w:rsid w:val="00FA57DA"/>
    <w:rsid w:val="00FA59EF"/>
    <w:rsid w:val="00FB1FFB"/>
    <w:rsid w:val="00FC7651"/>
    <w:rsid w:val="00FE2E2B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0B86A-733B-41ED-B0BB-B65638D3B576}"/>
</file>

<file path=customXml/itemProps3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Utente 1</cp:lastModifiedBy>
  <cp:revision>27</cp:revision>
  <dcterms:created xsi:type="dcterms:W3CDTF">2022-04-11T10:35:00Z</dcterms:created>
  <dcterms:modified xsi:type="dcterms:W3CDTF">2022-04-11T11:15:00Z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